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B8659B" w:rsidRDefault="00FE2A1D" w:rsidP="00B63BDD">
      <w:pPr>
        <w:pStyle w:val="rozdzia"/>
        <w:rPr>
          <w:b/>
        </w:rPr>
      </w:pPr>
      <w:bookmarkStart w:id="0" w:name="_Toc498404603"/>
      <w:r w:rsidRPr="00B8659B">
        <w:rPr>
          <w:b/>
        </w:rPr>
        <w:t>D.</w:t>
      </w:r>
      <w:r w:rsidR="00BA7B08" w:rsidRPr="00B8659B">
        <w:rPr>
          <w:b/>
        </w:rPr>
        <w:t>07.02.01</w:t>
      </w:r>
      <w:r w:rsidR="00BA7B08" w:rsidRPr="00B8659B">
        <w:rPr>
          <w:b/>
        </w:rPr>
        <w:tab/>
        <w:t>OZNAKOWANIE PIONOWE</w:t>
      </w:r>
      <w:bookmarkEnd w:id="0"/>
    </w:p>
    <w:p w:rsidR="00BA7B08" w:rsidRDefault="00BA7B08" w:rsidP="00B63BDD">
      <w:pPr>
        <w:pStyle w:val="rozdzia"/>
      </w:pPr>
    </w:p>
    <w:p w:rsidR="00BA7B08" w:rsidRDefault="00BA7B08" w:rsidP="00B63BDD">
      <w:pPr>
        <w:pStyle w:val="rozdzia"/>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w:t>
      </w:r>
      <w:r w:rsidR="00950E86">
        <w:rPr>
          <w:rFonts w:ascii="Arial" w:hAnsi="Arial" w:cs="Arial"/>
          <w:sz w:val="20"/>
        </w:rPr>
        <w:t xml:space="preserve">nowego stosowanego na drogach </w:t>
      </w:r>
      <w:r>
        <w:rPr>
          <w:rFonts w:ascii="Arial" w:hAnsi="Arial" w:cs="Arial"/>
          <w:sz w:val="20"/>
        </w:rPr>
        <w:t>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950E86" w:rsidRDefault="00950E86" w:rsidP="00950E86">
      <w:pPr>
        <w:pStyle w:val="TEKST1Tre"/>
        <w:numPr>
          <w:ilvl w:val="0"/>
          <w:numId w:val="22"/>
        </w:numPr>
        <w:spacing w:before="0"/>
        <w:ind w:left="924" w:hanging="357"/>
      </w:pPr>
      <w:r>
        <w:t>urządzeń bezpieczeństwa ruchu drogowego (słupków przeszkodowych U-5a)</w:t>
      </w:r>
      <w:r w:rsidR="00BA7B08">
        <w:t>.</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w:t>
      </w:r>
      <w:bookmarkStart w:id="3" w:name="_GoBack"/>
      <w:bookmarkEnd w:id="3"/>
      <w:r>
        <w:rPr>
          <w:b w:val="0"/>
          <w:sz w:val="20"/>
          <w:szCs w:val="20"/>
        </w:rPr>
        <w:t>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 xml:space="preserve">lub wykonaną z transparentnych folii ploterowych. Lico znaku stosowane na drogach krajowych winno być wykonane z folii odblaskowych typu 1,2 lub </w:t>
      </w:r>
      <w:proofErr w:type="spellStart"/>
      <w:r>
        <w:rPr>
          <w:b w:val="0"/>
          <w:sz w:val="20"/>
          <w:szCs w:val="20"/>
        </w:rPr>
        <w:t>mikropryzmatycznych</w:t>
      </w:r>
      <w:proofErr w:type="spellEnd"/>
      <w:r>
        <w:rPr>
          <w:b w:val="0"/>
          <w:sz w:val="20"/>
          <w:szCs w:val="20"/>
        </w:rPr>
        <w:t xml:space="preserve">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lastRenderedPageBreak/>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w:t>
      </w:r>
      <w:proofErr w:type="spellStart"/>
      <w:r>
        <w:rPr>
          <w:rFonts w:ascii="Arial" w:hAnsi="Arial" w:cs="Arial"/>
          <w:sz w:val="20"/>
        </w:rPr>
        <w:t>Dz.U</w:t>
      </w:r>
      <w:proofErr w:type="spellEnd"/>
      <w:r>
        <w:rPr>
          <w:rFonts w:ascii="Arial" w:hAnsi="Arial" w:cs="Arial"/>
          <w:sz w:val="20"/>
        </w:rPr>
        <w:t>. Nr 89 poz. 414) i  być wprowadzone do obrotu zgodnie z ustawą o wyrobach budowlanych z dnia 16 kwietnia 2004 r. (</w:t>
      </w:r>
      <w:proofErr w:type="spellStart"/>
      <w:r>
        <w:rPr>
          <w:rFonts w:ascii="Arial" w:hAnsi="Arial" w:cs="Arial"/>
          <w:sz w:val="20"/>
        </w:rPr>
        <w:t>Dz.U</w:t>
      </w:r>
      <w:proofErr w:type="spellEnd"/>
      <w:r>
        <w:rPr>
          <w:rFonts w:ascii="Arial" w:hAnsi="Arial" w:cs="Arial"/>
          <w:sz w:val="20"/>
        </w:rPr>
        <w:t>. Nr 92, p, poz. 881) i rozporządzeniem Ministra Infrastruktury z dnia 11 sierpnia 2004 r. W sprawie deklarowania zgodności wyrobów budowlanych oraz sposobu znakowania ich znakiem budowlanym (</w:t>
      </w:r>
      <w:proofErr w:type="spellStart"/>
      <w:r>
        <w:rPr>
          <w:rFonts w:ascii="Arial" w:hAnsi="Arial" w:cs="Arial"/>
          <w:sz w:val="20"/>
        </w:rPr>
        <w:t>Dz.U</w:t>
      </w:r>
      <w:proofErr w:type="spellEnd"/>
      <w:r>
        <w:rPr>
          <w:rFonts w:ascii="Arial" w:hAnsi="Arial" w:cs="Arial"/>
          <w:sz w:val="20"/>
        </w:rPr>
        <w:t xml:space="preserve">.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 xml:space="preserve">Każdy materiał zastosowany do wykonania pionowego znaku drogowego i elementów montażowych, na który nie ma Polskiej Normy (PN) lub normy europejskiej musi posiadać certyfikat lub świadectwo dopuszczenia do stosowania w budownictwie lub aprobatę techniczną wydaną przez </w:t>
      </w:r>
      <w:proofErr w:type="spellStart"/>
      <w:r>
        <w:rPr>
          <w:rFonts w:ascii="Arial" w:hAnsi="Arial" w:cs="Arial"/>
          <w:sz w:val="20"/>
        </w:rPr>
        <w:t>IBDiM</w:t>
      </w:r>
      <w:proofErr w:type="spellEnd"/>
      <w:r>
        <w:rPr>
          <w:rFonts w:ascii="Arial" w:hAnsi="Arial" w:cs="Arial"/>
          <w:sz w:val="20"/>
        </w:rPr>
        <w:t>.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lastRenderedPageBreak/>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 xml:space="preserve">Granica plastyczności, </w:t>
            </w:r>
            <w:proofErr w:type="spellStart"/>
            <w:r>
              <w:rPr>
                <w:rFonts w:ascii="Arial" w:hAnsi="Arial" w:cs="Arial"/>
                <w:b/>
                <w:sz w:val="20"/>
              </w:rPr>
              <w:t>MPa</w:t>
            </w:r>
            <w:proofErr w:type="spellEnd"/>
            <w:r>
              <w:rPr>
                <w:rFonts w:ascii="Arial" w:hAnsi="Arial" w:cs="Arial"/>
                <w:b/>
                <w:sz w:val="20"/>
              </w:rPr>
              <w:t>,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 xml:space="preserve">Wytrzymałość na rozciąganie, </w:t>
            </w:r>
            <w:proofErr w:type="spellStart"/>
            <w:r>
              <w:rPr>
                <w:rFonts w:ascii="Arial" w:hAnsi="Arial" w:cs="Arial"/>
                <w:b/>
                <w:sz w:val="20"/>
              </w:rPr>
              <w:t>MPa</w:t>
            </w:r>
            <w:proofErr w:type="spellEnd"/>
            <w:r>
              <w:rPr>
                <w:rFonts w:ascii="Arial" w:hAnsi="Arial" w:cs="Arial"/>
                <w:b/>
                <w:sz w:val="20"/>
              </w:rPr>
              <w:t xml:space="preserve">, dla wyrobów o grubości lub </w:t>
            </w:r>
            <w:proofErr w:type="spellStart"/>
            <w:r>
              <w:rPr>
                <w:rFonts w:ascii="Arial" w:hAnsi="Arial" w:cs="Arial"/>
                <w:b/>
                <w:sz w:val="20"/>
              </w:rPr>
              <w:t>śred</w:t>
            </w:r>
            <w:proofErr w:type="spellEnd"/>
            <w:r>
              <w:rPr>
                <w:rFonts w:ascii="Arial" w:hAnsi="Arial" w:cs="Arial"/>
                <w:b/>
                <w:sz w:val="20"/>
              </w:rPr>
              <w:t>.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 xml:space="preserve">Minimalna grubość powłoki, </w:t>
            </w:r>
            <w:proofErr w:type="spellStart"/>
            <w:r>
              <w:rPr>
                <w:rFonts w:ascii="Arial" w:hAnsi="Arial" w:cs="Arial"/>
                <w:b/>
                <w:sz w:val="20"/>
              </w:rPr>
              <w:t>μm</w:t>
            </w:r>
            <w:proofErr w:type="spellEnd"/>
            <w:r>
              <w:rPr>
                <w:rFonts w:ascii="Arial" w:hAnsi="Arial" w:cs="Arial"/>
                <w:b/>
                <w:sz w:val="20"/>
              </w:rPr>
              <w:t>,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t>
      </w:r>
      <w:r>
        <w:rPr>
          <w:rFonts w:ascii="Arial" w:hAnsi="Arial" w:cs="Arial"/>
          <w:sz w:val="20"/>
        </w:rPr>
        <w:lastRenderedPageBreak/>
        <w:t xml:space="preserve">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w:t>
      </w:r>
      <w:proofErr w:type="spellStart"/>
      <w:r>
        <w:rPr>
          <w:rFonts w:ascii="Arial" w:hAnsi="Arial" w:cs="Arial"/>
          <w:sz w:val="20"/>
        </w:rPr>
        <w:t>konstrukcyjno</w:t>
      </w:r>
      <w:proofErr w:type="spellEnd"/>
      <w:r>
        <w:rPr>
          <w:rFonts w:ascii="Arial" w:hAnsi="Arial" w:cs="Arial"/>
          <w:sz w:val="20"/>
        </w:rPr>
        <w:t xml:space="preserve">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w:t>
      </w:r>
      <w:proofErr w:type="spellStart"/>
      <w:r>
        <w:rPr>
          <w:rFonts w:ascii="Arial" w:hAnsi="Arial" w:cs="Arial"/>
          <w:sz w:val="20"/>
        </w:rPr>
        <w:t>konstrukcyjno</w:t>
      </w:r>
      <w:proofErr w:type="spellEnd"/>
      <w:r>
        <w:rPr>
          <w:rFonts w:ascii="Arial" w:hAnsi="Arial" w:cs="Arial"/>
          <w:sz w:val="20"/>
        </w:rPr>
        <w:t xml:space="preserve"> - montażowymi umieszczonymi w układzie poziomym Tarcze aluminiowych należy wyposażyć w poziome profile usztywniające wykonane z kształtowników aluminiowych. Dla tablic wykonanych z folii odblaskowych typu 2 oraz </w:t>
      </w:r>
      <w:proofErr w:type="spellStart"/>
      <w:r>
        <w:rPr>
          <w:rFonts w:ascii="Arial" w:hAnsi="Arial" w:cs="Arial"/>
          <w:sz w:val="20"/>
        </w:rPr>
        <w:t>mikropryzmatycznych</w:t>
      </w:r>
      <w:proofErr w:type="spellEnd"/>
      <w:r>
        <w:rPr>
          <w:rFonts w:ascii="Arial" w:hAnsi="Arial" w:cs="Arial"/>
          <w:sz w:val="20"/>
        </w:rPr>
        <w:t xml:space="preserve">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 xml:space="preserve">w gwarantowanym przez producenta folii okresie trwałości, oraz pełne związanie folii z tarczą znaku przez cały ten okres. Niedopuszczalne są lokalne nie doklejenia, odklejenia lub odstawanie folii na jej </w:t>
      </w:r>
      <w:r>
        <w:rPr>
          <w:rFonts w:cs="Arial"/>
        </w:rPr>
        <w:lastRenderedPageBreak/>
        <w:t>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proofErr w:type="spellStart"/>
            <w:r>
              <w:rPr>
                <w:rFonts w:ascii="Arial" w:hAnsi="Arial" w:cs="Arial"/>
              </w:rPr>
              <w:t>współcz</w:t>
            </w:r>
            <w:proofErr w:type="spellEnd"/>
            <w:r>
              <w:rPr>
                <w:rFonts w:ascii="Arial" w:hAnsi="Arial" w:cs="Arial"/>
              </w:rPr>
              <w:t>.</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lastRenderedPageBreak/>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lastRenderedPageBreak/>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proofErr w:type="spellStart"/>
            <w:r>
              <w:rPr>
                <w:rFonts w:ascii="Arial" w:hAnsi="Arial" w:cs="Arial"/>
              </w:rPr>
              <w:t>kN</w:t>
            </w:r>
            <w:proofErr w:type="spellEnd"/>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lastRenderedPageBreak/>
              <w:t>≤ 1,15</w:t>
            </w:r>
          </w:p>
        </w:tc>
        <w:tc>
          <w:tcPr>
            <w:tcW w:w="2310" w:type="dxa"/>
            <w:vAlign w:val="center"/>
          </w:tcPr>
          <w:p w:rsidR="00BA7B08" w:rsidRDefault="00BA7B08" w:rsidP="002313FD">
            <w:pPr>
              <w:jc w:val="center"/>
              <w:rPr>
                <w:rFonts w:ascii="Arial" w:hAnsi="Arial" w:cs="Arial"/>
              </w:rPr>
            </w:pPr>
            <w:r>
              <w:rPr>
                <w:rFonts w:ascii="Arial" w:hAnsi="Arial" w:cs="Arial"/>
              </w:rPr>
              <w:lastRenderedPageBreak/>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lastRenderedPageBreak/>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w:t>
      </w:r>
      <w:proofErr w:type="spellStart"/>
      <w:r>
        <w:rPr>
          <w:rFonts w:ascii="Arial" w:hAnsi="Arial" w:cs="Arial"/>
          <w:sz w:val="20"/>
        </w:rPr>
        <w:t>Dz.U.RP</w:t>
      </w:r>
      <w:proofErr w:type="spellEnd"/>
      <w:r>
        <w:rPr>
          <w:rFonts w:ascii="Arial" w:hAnsi="Arial" w:cs="Arial"/>
          <w:sz w:val="20"/>
        </w:rPr>
        <w:t xml:space="preserve">,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r>
      <w:r>
        <w:rPr>
          <w:rFonts w:ascii="Arial" w:hAnsi="Arial" w:cs="Arial"/>
          <w:sz w:val="20"/>
        </w:rPr>
        <w:lastRenderedPageBreak/>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 xml:space="preserve">Lokalizację znaku, tj. jego </w:t>
      </w:r>
      <w:proofErr w:type="spellStart"/>
      <w:r>
        <w:t>pikietaż</w:t>
      </w:r>
      <w:proofErr w:type="spellEnd"/>
      <w:r>
        <w:t xml:space="preserve">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 xml:space="preserve">ich umieszczania muszą być zgodnie z wytycznymi zawartymi w </w:t>
      </w:r>
      <w:proofErr w:type="spellStart"/>
      <w:r>
        <w:rPr>
          <w:rFonts w:ascii="Arial" w:hAnsi="Arial" w:cs="Arial"/>
          <w:sz w:val="20"/>
        </w:rPr>
        <w:t>Dz.U.RP</w:t>
      </w:r>
      <w:proofErr w:type="spellEnd"/>
      <w:r>
        <w:rPr>
          <w:rFonts w:ascii="Arial" w:hAnsi="Arial" w:cs="Arial"/>
          <w:sz w:val="20"/>
        </w:rPr>
        <w:t>, Załącznik do nru 220,</w:t>
      </w:r>
      <w:r>
        <w:rPr>
          <w:rFonts w:ascii="Arial" w:hAnsi="Arial" w:cs="Arial"/>
          <w:sz w:val="20"/>
        </w:rPr>
        <w:br/>
      </w:r>
      <w:proofErr w:type="spellStart"/>
      <w:r>
        <w:rPr>
          <w:rFonts w:ascii="Arial" w:hAnsi="Arial" w:cs="Arial"/>
          <w:sz w:val="20"/>
        </w:rPr>
        <w:t>poz</w:t>
      </w:r>
      <w:proofErr w:type="spellEnd"/>
      <w:r>
        <w:rPr>
          <w:rFonts w:ascii="Arial" w:hAnsi="Arial" w:cs="Arial"/>
          <w:sz w:val="20"/>
        </w:rPr>
        <w:t xml:space="preserve">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r>
      <w:r>
        <w:rPr>
          <w:rFonts w:ascii="Arial" w:hAnsi="Arial" w:cs="Arial"/>
          <w:sz w:val="20"/>
        </w:rPr>
        <w:lastRenderedPageBreak/>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 xml:space="preserve">Elementem </w:t>
      </w:r>
      <w:proofErr w:type="spellStart"/>
      <w:r>
        <w:rPr>
          <w:rFonts w:ascii="Arial" w:hAnsi="Arial" w:cs="Arial"/>
          <w:sz w:val="20"/>
        </w:rPr>
        <w:t>konstrukcyjno</w:t>
      </w:r>
      <w:proofErr w:type="spellEnd"/>
      <w:r>
        <w:rPr>
          <w:rFonts w:ascii="Arial" w:hAnsi="Arial" w:cs="Arial"/>
          <w:sz w:val="20"/>
        </w:rPr>
        <w:t xml:space="preserve">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 xml:space="preserve">Wytrzymałość zmęczeniowa spoin powinna wynosić od 19 do 32 </w:t>
      </w:r>
      <w:proofErr w:type="spellStart"/>
      <w:r>
        <w:rPr>
          <w:rFonts w:ascii="Arial" w:hAnsi="Arial" w:cs="Arial"/>
          <w:sz w:val="20"/>
        </w:rPr>
        <w:t>MPa</w:t>
      </w:r>
      <w:proofErr w:type="spellEnd"/>
      <w:r>
        <w:rPr>
          <w:rFonts w:ascii="Arial" w:hAnsi="Arial" w:cs="Arial"/>
          <w:sz w:val="20"/>
        </w:rPr>
        <w:t>.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 xml:space="preserve">Wykonawca opracuje i przedstawi do zatwierdzenia Inżynierowi Program Zapewnienia Jakości (PZJ). Ogólne wymagania kontroli jakości prowadzonych robót podano w ST D.00.00.00 „Wymagania </w:t>
      </w:r>
      <w:r>
        <w:rPr>
          <w:rFonts w:ascii="Arial" w:hAnsi="Arial" w:cs="Arial"/>
          <w:b w:val="0"/>
          <w:sz w:val="20"/>
        </w:rPr>
        <w:lastRenderedPageBreak/>
        <w:t>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proofErr w:type="spellStart"/>
            <w:r>
              <w:rPr>
                <w:rFonts w:ascii="Arial" w:hAnsi="Arial" w:cs="Arial"/>
              </w:rPr>
              <w:t>prEN</w:t>
            </w:r>
            <w:proofErr w:type="spellEnd"/>
            <w:r>
              <w:rPr>
                <w:rFonts w:ascii="Arial" w:hAnsi="Arial" w:cs="Arial"/>
              </w:rPr>
              <w:t xml:space="preserve">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33.</w:t>
      </w:r>
      <w:r>
        <w:rPr>
          <w:rFonts w:ascii="Arial" w:hAnsi="Arial" w:cs="Arial"/>
        </w:rPr>
        <w:tab/>
        <w:t xml:space="preserve">CIE No. 39.2 1983 </w:t>
      </w:r>
      <w:proofErr w:type="spellStart"/>
      <w:r>
        <w:rPr>
          <w:rFonts w:ascii="Arial" w:hAnsi="Arial" w:cs="Arial"/>
        </w:rPr>
        <w:t>Recommendations</w:t>
      </w:r>
      <w:proofErr w:type="spellEnd"/>
      <w:r>
        <w:rPr>
          <w:rFonts w:ascii="Arial" w:hAnsi="Arial" w:cs="Arial"/>
        </w:rPr>
        <w:t xml:space="preserve"> for </w:t>
      </w:r>
      <w:proofErr w:type="spellStart"/>
      <w:r>
        <w:rPr>
          <w:rFonts w:ascii="Arial" w:hAnsi="Arial" w:cs="Arial"/>
        </w:rPr>
        <w:t>surface</w:t>
      </w:r>
      <w:proofErr w:type="spellEnd"/>
      <w:r>
        <w:rPr>
          <w:rFonts w:ascii="Arial" w:hAnsi="Arial" w:cs="Arial"/>
        </w:rPr>
        <w:t xml:space="preserve"> </w:t>
      </w:r>
      <w:proofErr w:type="spellStart"/>
      <w:r>
        <w:rPr>
          <w:rFonts w:ascii="Arial" w:hAnsi="Arial" w:cs="Arial"/>
        </w:rPr>
        <w:t>colours</w:t>
      </w:r>
      <w:proofErr w:type="spellEnd"/>
      <w:r>
        <w:rPr>
          <w:rFonts w:ascii="Arial" w:hAnsi="Arial" w:cs="Arial"/>
        </w:rPr>
        <w:t xml:space="preserve"> for </w:t>
      </w:r>
      <w:proofErr w:type="spellStart"/>
      <w:r>
        <w:rPr>
          <w:rFonts w:ascii="Arial" w:hAnsi="Arial" w:cs="Arial"/>
        </w:rPr>
        <w:t>visual</w:t>
      </w:r>
      <w:proofErr w:type="spellEnd"/>
      <w:r>
        <w:rPr>
          <w:rFonts w:ascii="Arial" w:hAnsi="Arial" w:cs="Arial"/>
        </w:rPr>
        <w:t xml:space="preserve"> </w:t>
      </w:r>
      <w:proofErr w:type="spellStart"/>
      <w:r>
        <w:rPr>
          <w:rFonts w:ascii="Arial" w:hAnsi="Arial" w:cs="Arial"/>
        </w:rPr>
        <w:t>signalling</w:t>
      </w:r>
      <w:proofErr w:type="spellEnd"/>
      <w:r>
        <w:rPr>
          <w:rFonts w:ascii="Arial" w:hAnsi="Arial" w:cs="Arial"/>
        </w:rPr>
        <w:t xml:space="preserve">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 xml:space="preserve">CIE No. 54 </w:t>
      </w:r>
      <w:proofErr w:type="spellStart"/>
      <w:r>
        <w:rPr>
          <w:rFonts w:ascii="Arial" w:hAnsi="Arial" w:cs="Arial"/>
        </w:rPr>
        <w:t>Retroreflection</w:t>
      </w:r>
      <w:proofErr w:type="spellEnd"/>
      <w:r>
        <w:rPr>
          <w:rFonts w:ascii="Arial" w:hAnsi="Arial" w:cs="Arial"/>
        </w:rPr>
        <w:t xml:space="preserve"> </w:t>
      </w:r>
      <w:proofErr w:type="spellStart"/>
      <w:r>
        <w:rPr>
          <w:rFonts w:ascii="Arial" w:hAnsi="Arial" w:cs="Arial"/>
        </w:rPr>
        <w:t>definition</w:t>
      </w:r>
      <w:proofErr w:type="spellEnd"/>
      <w:r>
        <w:rPr>
          <w:rFonts w:ascii="Arial" w:hAnsi="Arial" w:cs="Arial"/>
        </w:rPr>
        <w:t xml:space="preserve"> and </w:t>
      </w:r>
      <w:proofErr w:type="spellStart"/>
      <w:r>
        <w:rPr>
          <w:rFonts w:ascii="Arial" w:hAnsi="Arial" w:cs="Arial"/>
        </w:rPr>
        <w:t>measurement</w:t>
      </w:r>
      <w:proofErr w:type="spellEnd"/>
      <w:r>
        <w:rPr>
          <w:rFonts w:ascii="Arial" w:hAnsi="Arial" w:cs="Arial"/>
        </w:rPr>
        <w:t xml:space="preserve">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 xml:space="preserve">Stałe odblaskowe znaki drogowe i urządzenia bezpieczeństwa ruchu drogowego. Zalecenia </w:t>
      </w:r>
      <w:proofErr w:type="spellStart"/>
      <w:r>
        <w:rPr>
          <w:rFonts w:ascii="Arial" w:hAnsi="Arial" w:cs="Arial"/>
        </w:rPr>
        <w:t>IBDiM</w:t>
      </w:r>
      <w:proofErr w:type="spellEnd"/>
      <w:r>
        <w:rPr>
          <w:rFonts w:ascii="Arial" w:hAnsi="Arial" w:cs="Arial"/>
        </w:rPr>
        <w:t xml:space="preserve"> do udzielania aprobat technicznych nr Z/2005-03-009</w:t>
      </w:r>
    </w:p>
    <w:p w:rsidR="00542779" w:rsidRDefault="00BA7B08" w:rsidP="002313FD">
      <w:pPr>
        <w:rPr>
          <w:rFonts w:ascii="Arial" w:hAnsi="Arial" w:cs="Arial"/>
        </w:rPr>
      </w:pPr>
      <w:r>
        <w:rPr>
          <w:rFonts w:ascii="Arial" w:hAnsi="Arial" w:cs="Arial"/>
        </w:rPr>
        <w:t xml:space="preserve">37. </w:t>
      </w:r>
      <w:r>
        <w:rPr>
          <w:rFonts w:ascii="Arial" w:hAnsi="Arial" w:cs="Arial"/>
        </w:rPr>
        <w:tab/>
        <w:t xml:space="preserve">Zarządzenie nr 70 z 09.07.2010r. </w:t>
      </w:r>
      <w:proofErr w:type="spellStart"/>
      <w:r>
        <w:rPr>
          <w:rFonts w:ascii="Arial" w:hAnsi="Arial" w:cs="Arial"/>
        </w:rPr>
        <w:t>GDDKiA</w:t>
      </w:r>
      <w:proofErr w:type="spellEnd"/>
      <w:r>
        <w:rPr>
          <w:rFonts w:ascii="Arial" w:hAnsi="Arial" w:cs="Arial"/>
        </w:rPr>
        <w:t xml:space="preserve"> w sprawie ujednolicenia oznakowania pionowego i poziomego oraz urządzeń bezpieczeństwa ruchu drogowego na drogach krajowych</w:t>
      </w:r>
      <w:r w:rsidR="00950E86">
        <w:rPr>
          <w:rFonts w:ascii="Arial" w:hAnsi="Arial" w:cs="Arial"/>
        </w:rPr>
        <w:t>.</w:t>
      </w:r>
    </w:p>
    <w:p w:rsidR="00950E86" w:rsidRDefault="00950E86" w:rsidP="002313FD">
      <w:pPr>
        <w:rPr>
          <w:rFonts w:ascii="Arial" w:hAnsi="Arial" w:cs="Arial"/>
        </w:rPr>
      </w:pPr>
    </w:p>
    <w:p w:rsidR="00950E86" w:rsidRDefault="00950E86" w:rsidP="002313FD">
      <w:pPr>
        <w:rPr>
          <w:rFonts w:ascii="Arial" w:hAnsi="Arial" w:cs="Arial"/>
        </w:rPr>
      </w:pPr>
    </w:p>
    <w:p w:rsidR="00950E86" w:rsidRDefault="00950E86" w:rsidP="002313FD">
      <w:pPr>
        <w:rPr>
          <w:rFonts w:ascii="Arial" w:hAnsi="Arial" w:cs="Arial"/>
        </w:rPr>
      </w:pPr>
    </w:p>
    <w:p w:rsidR="00950E86" w:rsidRDefault="00950E86" w:rsidP="002313FD"/>
    <w:sectPr w:rsidR="00950E86" w:rsidSect="00842877">
      <w:headerReference w:type="default"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B33" w:rsidRDefault="00B86B33" w:rsidP="002313FD">
      <w:r>
        <w:separator/>
      </w:r>
    </w:p>
  </w:endnote>
  <w:endnote w:type="continuationSeparator" w:id="0">
    <w:p w:rsidR="00B86B33" w:rsidRDefault="00B86B33"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842877">
          <w:rPr>
            <w:rFonts w:ascii="Arial" w:hAnsi="Arial" w:cs="Arial"/>
            <w:noProof/>
          </w:rPr>
          <w:t>2</w:t>
        </w:r>
        <w:r w:rsidRPr="00B63BDD">
          <w:rPr>
            <w:rFonts w:ascii="Arial" w:hAnsi="Arial" w:cs="Arial"/>
          </w:rPr>
          <w:fldChar w:fldCharType="end"/>
        </w:r>
      </w:p>
    </w:sdtContent>
  </w:sdt>
  <w:p w:rsidR="002313FD" w:rsidRDefault="002313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B33" w:rsidRDefault="00B86B33" w:rsidP="002313FD">
      <w:r>
        <w:separator/>
      </w:r>
    </w:p>
  </w:footnote>
  <w:footnote w:type="continuationSeparator" w:id="0">
    <w:p w:rsidR="00B86B33" w:rsidRDefault="00B86B33"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B63BDD" w:rsidRDefault="00B63BDD" w:rsidP="00B63BDD">
    <w:pPr>
      <w:pStyle w:val="rozdzia"/>
      <w:pBdr>
        <w:bottom w:val="single" w:sz="4" w:space="1" w:color="auto"/>
      </w:pBdr>
      <w:jc w:val="center"/>
    </w:pPr>
    <w:r w:rsidRPr="00B63BDD">
      <w:t>D.07.02.01</w:t>
    </w:r>
    <w:r w:rsidRPr="00B63BDD">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1D29"/>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C9A"/>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2877"/>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0E86"/>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05B5D"/>
    <w:rsid w:val="00B10869"/>
    <w:rsid w:val="00B13F44"/>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77E"/>
    <w:rsid w:val="00B77A31"/>
    <w:rsid w:val="00B80B35"/>
    <w:rsid w:val="00B822DA"/>
    <w:rsid w:val="00B84351"/>
    <w:rsid w:val="00B84412"/>
    <w:rsid w:val="00B8659B"/>
    <w:rsid w:val="00B86B33"/>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B63BDD"/>
    <w:pPr>
      <w:tabs>
        <w:tab w:val="left" w:pos="1701"/>
        <w:tab w:val="left" w:pos="31680"/>
        <w:tab w:val="left" w:pos="-31680"/>
        <w:tab w:val="left" w:pos="-31336"/>
        <w:tab w:val="left" w:pos="-30436"/>
      </w:tabs>
      <w:ind w:left="1701" w:hanging="1701"/>
      <w:jc w:val="both"/>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6409</Words>
  <Characters>38460</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14</cp:revision>
  <cp:lastPrinted>2014-03-25T08:40:00Z</cp:lastPrinted>
  <dcterms:created xsi:type="dcterms:W3CDTF">2015-01-11T18:23:00Z</dcterms:created>
  <dcterms:modified xsi:type="dcterms:W3CDTF">2020-08-22T14:12:00Z</dcterms:modified>
</cp:coreProperties>
</file>